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2011/60 vom 14. Februar 2013</w:t>
      </w:r>
    </w:p>
    <w:p>
      <w:r>
        <w:t>Sg Versicherungsgericht, 2013-02-14, DE</w:t>
      </w:r>
    </w:p>
    <w:p>
      <w:r>
        <w:rPr>
          <w:b/>
        </w:rPr>
        <w:t xml:space="preserve">Quelle: </w:t>
      </w:r>
      <w:r>
        <w:t>https://mcp.opencaselaw.ch/entscheid/sg_publikationen_IV 2011_60</w:t>
      </w:r>
    </w:p>
    <w:p>
      <w:r>
        <w:t>FR: SG_VERSICHERUNGSGERICHT IV 2011/60 du 14 février 2013</w:t>
      </w:r>
    </w:p>
    <w:p>
      <w:r>
        <w:t>IT: SG_VERSICHERUNGSGERICHT IV 2011/60 del 14 febbraio 2013</w:t>
      </w:r>
    </w:p>
    <w:p>
      <w:pPr>
        <w:pStyle w:val="Heading2"/>
      </w:pPr>
      <w:r>
        <w:t>Regeste</w:t>
      </w:r>
    </w:p>
    <w:p>
      <w:r>
        <w:t>Art. 16 ATSG. Art. 28 IVG. Würdigung medizinisches Gutachten. Bemessung des Invaliditätsgrads (Entscheid des Versicherungsgerichts des Kantons St. Gallen vom 14. Februar 2013, IV 2011/60).</w:t>
      </w:r>
    </w:p>
    <w:p>
      <w:pPr>
        <w:pStyle w:val="Heading2"/>
      </w:pPr>
      <w:r>
        <w:t>Erwägungen</w:t>
      </w:r>
    </w:p>
    <w:p>
      <w:r>
        <w:rPr>
          <w:b/>
        </w:rPr>
        <w:t>E. 1</w:t>
      </w:r>
    </w:p>
    <w:p>
      <w:r>
        <w:t>1.1    Zwischen den Parteien ist der Rentenanspruch des Beschwerdeführers streitig. 1.2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das vorliegende Ver­fahren nicht von Bedeutung. 1.3    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IVG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 Die Regelung des Art. 29 Abs. 1 IVG ist gemäss der Rechtsprechung des Bundesgerichts auch in jenen Fällen anwendbar, in denen zwar das Wartejahr vor dem 1. Januar 2008 zu laufen begann, indes erst im Jahr 2008 erfüllt wurde, sofern die Anmeldung erst nach Ende Juni 2008 erfolgt ist (Urteil 9C_562/2012).</w:t>
      </w:r>
    </w:p>
    <w:p>
      <w:r>
        <w:rPr>
          <w:b/>
        </w:rPr>
        <w:t>E. 2</w:t>
      </w:r>
    </w:p>
    <w:p>
      <w:r>
        <w:t>) (ICD-10: E66.0); arterielle Hypertonie, medikamentös behandelt (ICD-10: I10); Dyslipidämie, medikamentös behandelt (ICD-10: E78.2); Hyperurikämie, asymptomatisch, unbehandelt (ICD-10:  E79.0)]. Aus polydisziplinärer Sicht resultiere beim Beschwerdeführer eine Arbeitsunfähigkeit für jegliche körperlich belastenden, mittelschweren bis schweren Tätigkeiten; dies gelte auch für die angestammte Tätigkeit. Es bestehe nur noch eine Teilarbeitsfähigkeit für körperlich leichte Tätigkeiten. Dem Beschwerdeführer sei ein Pensum von fünf Stunden pro Tag zumutbar mit einer Leistungseinbusse. Das Pensum sei am besten auf den Morgen und Nach­mittag zu verteilen, z.B. drei Stunden und zwei Stunden. Insgesamt bestehe für leichte, teilweise sitzende Tätigkeiten eine Arbeits- und Leistungsfähigkeit von max. 50 %. 2.3    Es stellt sich die Frage nach dem Beweiswert des Gutachtens. Der Beschwerde­führer hält dieses in verschiedener Hinsicht für mangelhaft. 2.3.1   Zunächst weist er darauf hin, das Kantonsspital St. Gallen habe am 9. April 2008 mittels Koronarangiografie eine Auswurfleistung von 20 % ermittelt. Dieser Wert liege somit beträchtlich tiefer, als dies bei der Echokardiografie (ca. 35 % bis 37 %) der Fall gewesen sei. Bekanntermassen liefere die Koronarangiografie die exakteren Werte. Das ABI habe im Rahmen der Begutachtung - ohne Koronarangiographie - eine Auswurfleistung von 25 bis 30 % ermittelt. Wenn nun das ABI in Kenntnis dieser Umstände und auch dieser Messwerte immer noch von einer möglichen Arbeits- und Leistungsfähigkeit von 50 % bei leichten Tätigkeiten ausgehe, so sei dies vollkommen unrealistisch. Ebenfalls nicht nachvollziehbar sei, dass das ABI aufgrund der Diagnose "Blutgerinnungsstörung" und die damit verbundenen Einschränkungen in der Arbeits- und Leistungs­fähigkeit zum Ergebnis einer 50%igen Arbeitsfähigkeit gelangt sei. Wie sich aus dem kardiologischen Teilgutachten ergibt, geht auch der ABI-Gutachter anhand der Messwerte von einer schweren Herzinsuffizienz des Beschwerdeführers auf dem Boden einer koronaren Herzkrankheit mit kompliziertem Verlauf durch die zusätzliche Koagulopathie aus (vgl. IV-act. 58-15). Die Werte der LVEF, angiographisch im März 2008 und in den aktuellen Echokardiographien, stimmten überein (IV-act. 58-16). Es ist daher nicht ersichtlich, inwieweit mit Blick auf die Messwerte der Auswurfleistung die Arbeitsfähigkeitsschätzung rechtsfehlerhaft sein soll, zumal das Kantonsspital St. Gallen selbst am 2. Februar 2009 sogar noch bessere Werte gemessen hatte (LVEF 37 %, vgl. IV-act. 58-44). Auch die Diagnose "Blutgerinnungsstörung" wurde vom ABI bei der Einschätzung der Arbeitsfähigkeit berücksichtigt. Der begutachtende Kardiologe hat denn auch klar retrospektiv höchstens eine 50%ige Arbeitsfähigkeit für eine körperlich nicht be­lastende Tätigkeit, sitzend ohne Heben von Lasten mit der Möglichkeit zu Pausen gemäss individuellem Rhythmus festgehalten (IV-act. 58-15). 2.3.2   Der Beschwerdeführer rügt sodann, trotz ausdrücklichem Auftrag des RAD an das ABI, eine kardiologische, psychiatrische und neuropsychologische Untersuchung durchzuführen, hätten die Gutachter von der Durchführung der letztgenannten abgesehen mit der Begründung, es bestehe keine Indikation dafür, weil die subjektiven Beschwerden aus kardiologischer Sicht vollständig erklärbar seien. Diese Begründung vermöge nicht zu überzeugen. Zu beachten sei, dass auch Dr. B.___ in seinem Bericht vom 25. Oktober 2010 eine neuropsychologische Untersuchung befürworte. Zwar ist zutreffend, dass die Begutachtung nicht gemäss dem Auftrag der IV-Stelle umgesetzt wurde. Es muss jedoch grundsätzlich Sache des Gutachters sein, aufgrund des objektiven Beschwerdebildes zu entscheiden, welche Konsilien zur Anwendung gelangen. Begründet ein Gutachter in nachvollziehbarer Weise, weshalb von der Durchführung einer in Auftrag gegebenen Disziplin abgesehen werden konnte, ist von einer vollständigen Begutachtung auszugehen. Von den Gutachtern wurde vorliegend plausibel dargelegt, weshalb auf eine neuropsychologische Untersuchung zu verzichten war. So konnten die vom Beschwerdeführer beklagten Symptome der Müdigkeit zwanglos durch die schwere Herzinsuffizienz erklärt werden (IV-act. 58-17). Im Rahmen der psychiatrischen Ab­klärung konnte sodann keine Störung der Konzentration oder der Auffassung festgestellt werden (IV-act. 58-10). Damit besteht kein Anlass daran zu zweifeln, dass eine neuropsychologische Untersuchung nicht erforderlich war. Dass der RAD in seiner Stellungnahme vom 22. November 2010 erklärte, von ihm aus könne gerne eine neuropsychologische Untersuchung nachgeschoben werden, ändert an dieser Beurteilung nichts. Es erscheint bereits mit dem erforderlichen Beweisgrad der überwiegenden Wahrscheinlichkeit erstellt, dass eine neuropsychologische Untersuchung zu keinen wesentlichen neuen Erkenntnissen führen würde. Es ist folglich davon auszugehen, dass die Durchführung einer solchen Untersuchung bloss zur Bestätigung der Einschätzung der Gutachter führen würde. Abgesehen davon scheint auch der RAD eine neuropsychologische Untersuchung in Tat und Wahrheit für überflüssig zu halten, hält er doch in seiner Stellungnahme einleitend fest, die Beurteilung der Arbeitsfähigkeit sei vom ABI korrekt ermittelt worden, eine erneute Begutachtung sei nicht notwendig (vgl. IV-act. 75). 2.3.3   Weiter führt der Beschwerdeführer aus, das Gutachten sei auch deshalb zu beanstanden, weil es die Ergebnisse der beruflichen Abklärung beim OBV zu wenig berücksichtige. Der OBV habe in einem geschützten Rahmen eine Leistungsfähigkeit von max. 40 % ermittelt. Es müsse davon ausgegangen werden, dass die Arbeitsfähigkeit bei leichten Tätigkeiten auf dem freien Arbeitsmarkt noch beträchtlich tiefer sei. Vom ABI werde nicht begründet, weshalb für eine leichte Tätigkeit in der freien Wirtschaft noch eine Arbeitsfähigkeit von 50 % bestehe. Dies wäre jedoch zu erwarten gewesen, wenn es sich gestützt auf eine einmalige Untersuchung über die Ergebnisse einer dreimonatigen beruflichen Abklärung hinwegsetze. Nach der höchstrichterlichen Rechtsprechung obliegt die abschliessende Beurteilung der sich aus einem Gesundheitsschaden er­gebenden funktionellen Leistungsfähigkeit (z.B. nur sitzende oder stehende Arbeiten, nur beschränktes Heben/Tragen von Lasten etc.) in der Hauptsache dem Arzt oder der Ärztin und nicht den Fachleuten der Berufsbe­ratung/beruflichen Eingliederung. Den Ergebnissen leistungsorientierter beruflicher Abklärungen darf jedoch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Arbeitsverhalten/-einsatz des Versicherten effektiv realisiert und gemäss Einschätzung der Berufsfachleute objektiv realisierbar ist, vermag dies ernsthafte Zweifel an den ärztlichen Annahmen zu begründen und ist das Einholen einer klärenden medizinischen Stellungnahme grundsätzlich unabdingbar (Urteil 9C_833/2007 vom 4. Juli 2008 E. 3.3.2). Von einer solchen offensichtlichen Diskrepanz kann vorliegend nicht gesprochen werden. Vielmehr halten die Gutachter fest, dass die Annahme einer 40%igen Leistungsfähigkeit bei halbtägiger Präsenz mit ihrer Beurteilung grundsätzlich übereinstimme. Sie gingen lediglich davon aus, dass die Präsenz noch leicht erhöht werden könne (IV-act. 58-18). Es spricht demnach nichts dagegen, auf die vom ABI ermittelte Arbeitsfähigkeit von 50 % im freien Markt abzustellen. Der Beschwerdeführer hat zwar zutreffend darauf hingewiesen, dass vom ABI nicht weiter begründet wird, weshalb die Arbeitsfähigkeit nicht nur in einem geschützten Rahmen verwertbar sei; auch erweist sich in der Tat als missverständlich, dass der kardiologische Gutachter unter "Bemerkungen" (Ziff. 4.2.9) darlegte, aus kardiologischer Sicht wäre eine Unterstützung des Beschwerdeführers beim Er­langen einer Tätigkeit wie jener im OBV sinnvoll. An der Schlüssigkeit der Gesamtbe­urteilung, wonach ein geschützter Rahmen nicht zwingend erforderlich ist, ändert dies jedoch nichts. Diese Erkenntnis ergibt sich im Übrigen auch aus dem Schlussbericht des OBV. Der Bericht hält eine Integration in den ersten Arbeitsmarkt aus medizinischer Sicht grundsätzlich für möglich, er weist einzig auf die Schwierigkeit hin, einen Arbeit­geber zu finden, welcher bereit ist, den Beschwerdeführer unter Gewährung der betreffenden Entlastungsmöglichkeiten (Änderung der Arbeitshaltung; Einlegung von Gehpausen) anzustellen. 2.3.4   Gesamthaft ist festzustellen, dass das Gutachten zu schlüssigen, nachvollzieh­baren Erkenntnissen gelangt. Es kann darauf zur Beurteilung des Rentenanspruchs abgestellt werden. 2.4    Zu prüfen bleibt, welche Bedeutung dem bereits erwähnten Arztbericht von Dr. B.___ vom 25. Oktober 2010 (IV-act. 71-11) zukommt. Der Bericht wurde zeitlich nach der Begutachtung verfasst; letztere erfolgte am 8. Juni 2010. Im Bericht wird u.a. festgehalten, der Beschwerdeführer leide unter symptomatisch erhöhter Ermüdbarkeit, Konzentrationsschwäche, Schlafstörungen und ausgeprägten Tagesschwankungen der Leistungen. Die Symptomatik sei nicht schlüssig einzuordnen, sicher spiele eine gewisse depressive Anpassungsstörung eine Rolle. Im angestammten Beruf als Kaminfeger sei der Beschwerdeführer zweifelsohne zu 100 % arbeitsunfähig. Auch für adaptierte Tätigkeiten scheine eine Arbeitsfähigkeit kaum mehr vorzuliegen. Der Beschwerdeführer hält in seiner Beschwerdeschrift sodann fest, er befinde sich seit November 2010 in psychotherapeutischer Behandlung. Auffallend ist gemäss dem Arztbericht somit insbesondere, dass beim Beschwerdeführer eine depressive Anpassungsstörung vorliegen soll, während das psychiatrische Teilgutachten des ABI keine psychiatrische Diagnose stellte. Der Beschwerdeführer hat auch zutreffend darauf hingewiesen, dass Dr. B.___ bereits in seinem Bericht vom 15. März 2009 (IV-act. 28-2) eine Depressionsneigung erwähnte. Gerade dieser Umstand spricht indes dafür, dass mit dem Bericht vom 25. Oktober 2010 keine Verschlechterung des Gesundheitszustands seit der Begutachtung ausgewiesen ist. Es muss vielmehr davon ausgegangen werden, dass die von Dr. B.___ erwähnte Diagnose im Verhältnis zur gutachterlichen Beurteilung eine abweichende Auffassung darstellt. Rechtsprechungsgemäss ist damit der gutachterlichen Einschätzung auch im Vergleich zum Arztbericht vom 25. Oktober 2010 Priorität beizumessen; dies gilt umso mehr, als Dr. B.___ keinen psychiatrischen Facharzttitel aufweist, ein Umstand, welcher gemäss der Rechtsprechung ein Indiz gegen die Zuverlässigkeit einer Beurteilung darstellt (Urteil des Bundesgerichts vom 20. November 2007, I 142/07). Im Übrigen kann dem Bericht auch in Bezug auf die Schätzung der Arbeitsfähigkeit in adaptierter Tätigkeit kein ausreichender Beweiswert zuerkannt werden. Im Ergebnis besteht aufgrund des Berichts vom 25. Oktober 2010 kein Anlass von den Erkenntnissen des Gutachtens abzuweichen.</w:t>
      </w:r>
    </w:p>
    <w:p>
      <w:r>
        <w:rPr>
          <w:b/>
        </w:rPr>
        <w:t>E. 3</w:t>
      </w:r>
    </w:p>
    <w:p>
      <w:r>
        <w:t>3.1    Damit bleibt zu prüfen, ob die Verwaltung den Invaliditätsgrad korrekt bestimmt hat.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3.1.1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mit Hinweisen). Vorliegend ist demnach auf das vom Beschwerdeführer zuletzt erzielte Einkommen in seiner Tätigkeit als Kamin­feger abzustellen. Am 17. Juli 2008 teilte der ehemalige Arbeitgeber mit, der Beschwerdeführer würde ohne Gesundheitsschaden Fr. 77'350.-- verdienen (Fr. 5'950.-- x 13; IV-act. 19-3, Ziff. 2.11.). Dieser Betrag stellt das Valideneinkommen dar. 3.1.2 3.1.2.1  Bei der Bemessung des Invalideneinkommens ist zu beachten, dass der Beschwerdeführer nicht mehr in der Lage ist, seine bisherige Tätigkeit als Kaminfeger auszuüben. Im Rahmen des Verwaltungsverfahrens wurde nach der beruflichen Abklärung eine Umschulung geprüft. Nachdem der Beschwerdeführer jedoch angegeben hatte, er fühle sich in der freien Wirtschaft nicht mehr arbeitsfähig, wurde auf entsprechende Massnahmen verzichtet. Für die nähere Zukunft könnte sich die Frage stellen, ob die Möglichkeit zu einer Eingliederung nicht von Neuem zu prüfen wäre. Was die Berechnung des Invalideneinkommens betrifft, ist entgegen den Ausführungen des Beschwerdeführers nicht auf einen monatlichen Verdienst von Fr. 600.-- abzustellen, wie er einem 50%-Pensum im OBV entspricht. Eine solche Tätigkeit wird dem Restarbeitsfähigkeitspotenzial des Beschwerdeführers nicht gerecht (vgl. E. 2.3.3). Vorliegend sind aufgrund der Tatsache, dass der Beschwerdeführer keiner zumutbaren Erwerbstätigkeit mehr nachgeht, vielmehr die Tabellenlöhne gemäss den vom Bundesamt für Statistik periodisch herausgegebenen Lohnstrukturerhebungen (LSE) heranzuziehen (BGE 129 V 475 E. 4.2.1 mit Hinweisen). Auf die dem Beschwerdeführer gemäss ABI-Gutachten noch zumutbaren körperlich leichten, überwiegend sitzenden Tätigkeiten findet die LSE-Tabelle TA1, Privater Sektor, Total Anforderungsniveau 4, Anwendung. Im Jahr 2008 betrug der Durchschnittslohn für einen Hilfsarbeiter Fr. 4'806.-- pro Monat. Umgerechnet auf ein Jahr und unter Berücksichtigung der im Jahr 2008 betriebsüblichen Arbeitszeit von 41.6 Stunden pro Woche ergibt dies einen Betrag von Fr. 59'979.--. 3.1.2.2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(BGE 129 V 481 E. 4.2.3, mit Hinweisen). 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dazu LSE 06 Tabelle T2* S. 16; Urteil 9C_721/2010 vom 15. November 2010 E. 4.2). Gemäss diesen Erhebungen waren die Männerlöhne bei einem Beschäftigungsgrad von 50 % - 74 % rund 9 % unterproportional (Beschäftigungsgrad angeglichen Fr. 4'363.-- anstatt Fr. 4'798.--). Der Beschwerdeführer macht weitere lohnsenkende Faktoren geltend. Er habe aufgrund seiner schweren körperlichen Leiden, verbunden auch mit kognitiven Einschränkungen sowie psychischen Leiden im Vergleich mit einer gesunden Hilfsarbeiterkraft erhebliche Lohneinbussen zu gewärtigen. Zu berücksichtigen seien sodann vor allem auch das Alter und die Dauer der Tätigkeit im angestammten Beruf. Insgesamt rechtfertige sich ein Abzug vom Tabellenlohn in der Höhe von 25 %. Vorliegend ist die Tatsache als lohnreduzierend zu qualifizieren, dass der Beschwerdeführer nur noch leichte, sitzende Arbeiten ausführen kann und dabei aufgrund seiner Blutgerinnungsstörung keiner Verletzungsgefahr ausgesetzt sein darf. Zudem ist er aufgrund seiner schweren Herzerkrankung auf besondere Rücksichtnahme seitens eines Arbeitgebers angewiesen. Hingegen ist das Alter des Beschwerdeführers (rund 47 Jahre) nicht als lohnreduzierender Faktor zu werten. Angesichts des Wechsels in eine Hilfstätigkeit rechtfertigt sich auch aufgrund der langen Dauer der bisherigen Tätigkeit kein Leidensabzug. Gesamthaft erscheint die Gewährung eines Abzugs vom Tabellenlohn in der Höhe von 20 % als angemessen. 3.2    Unter Berücksichtigung der erwähnten Abzüge von total 20 % resultiert damit ein Invalideneinkommen von Fr. 23'992.-- (Fr. 59'979.-- x 0,5 x 0,80). Bei einem Valideneinkommen von Fr. 77'350.-- und einem Invalideneinkommen von Fr. 23'992.-- resultiert ein Erwerbsausfall von Fr. 53'358.-- (Fr. 77'350.-- abzüglich Fr. 23'992.--) und ein Invaliditätsgrad von aufgerundet 69 % ([53'358.-- / Fr. 77'350.--] x 100). Es besteht somit Anspruch auf eine Dreiviertelrente.</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Ausgangsgemäss hat der Beschwerdeführer keinen Anspruch auf eine Parteientschädigung. Demgemäss hat das Versicherungsgericht im Zirkulationsverfahren gemäss Art. 39 VRP entschieden: 1.       Die Beschwerde wird abgewiesen. 2.       Der Beschwerdeführer bezahlt die Gerichtskosten im Betrag von Fr. 600.--, unter Anrechnung des Kostenvorschusses von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